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200" w:firstLine="3690"/>
        <w:jc w:val="left"/>
        <w:rPr>
          <w:rFonts w:ascii="Calibri" w:cs="Calibri" w:eastAsia="Calibri" w:hAnsi="Calibri"/>
          <w:b w:val="1"/>
          <w:i w:val="0"/>
          <w:smallCaps w:val="0"/>
          <w:strike w:val="0"/>
          <w:color w:val="5b9bd5"/>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ed7d31"/>
          <w:sz w:val="18"/>
          <w:szCs w:val="18"/>
          <w:u w:val="none"/>
          <w:shd w:fill="auto" w:val="clear"/>
          <w:vertAlign w:val="baseline"/>
          <w:rtl w:val="0"/>
        </w:rPr>
        <w:t xml:space="preserve">Journal Homepage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hyperlink r:id="rId6">
        <w:r w:rsidDel="00000000" w:rsidR="00000000" w:rsidRPr="00000000">
          <w:rPr>
            <w:rFonts w:ascii="Calibri" w:cs="Calibri" w:eastAsia="Calibri" w:hAnsi="Calibri"/>
            <w:b w:val="1"/>
            <w:i w:val="0"/>
            <w:smallCaps w:val="0"/>
            <w:strike w:val="0"/>
            <w:color w:val="5b9bd5"/>
            <w:sz w:val="18"/>
            <w:szCs w:val="18"/>
            <w:u w:val="single"/>
            <w:shd w:fill="auto" w:val="clear"/>
            <w:vertAlign w:val="baseline"/>
            <w:rtl w:val="0"/>
          </w:rPr>
          <w:t xml:space="preserve">https://oralsphere.com</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200" w:firstLine="3692"/>
        <w:jc w:val="left"/>
        <w:rPr>
          <w:rFonts w:ascii="Calibri" w:cs="Calibri" w:eastAsia="Calibri" w:hAnsi="Calibri"/>
          <w:b w:val="1"/>
          <w:i w:val="0"/>
          <w:smallCaps w:val="0"/>
          <w:strike w:val="0"/>
          <w:color w:val="5b9bd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1200" w:firstLine="3692"/>
        <w:jc w:val="left"/>
        <w:rPr>
          <w:rFonts w:ascii="Calibri" w:cs="Calibri" w:eastAsia="Calibri" w:hAnsi="Calibri"/>
          <w:b w:val="1"/>
          <w:i w:val="0"/>
          <w:smallCaps w:val="0"/>
          <w:strike w:val="0"/>
          <w:color w:val="5b9bd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ind w:firstLine="3222"/>
        <w:rPr>
          <w:b w:val="1"/>
          <w:sz w:val="28"/>
          <w:szCs w:val="28"/>
          <w:u w:val="single"/>
        </w:rPr>
      </w:pPr>
      <w:r w:rsidDel="00000000" w:rsidR="00000000" w:rsidRPr="00000000">
        <w:rPr>
          <w:b w:val="1"/>
          <w:sz w:val="28"/>
          <w:szCs w:val="28"/>
          <w:u w:val="single"/>
          <w:rtl w:val="0"/>
        </w:rPr>
        <w:t xml:space="preserve">TRANSFER OF COPYRIGHT AGREEMENT</w:t>
      </w:r>
    </w:p>
    <w:p w:rsidR="00000000" w:rsidDel="00000000" w:rsidP="00000000" w:rsidRDefault="00000000" w:rsidRPr="00000000" w14:paraId="00000005">
      <w:pPr>
        <w:ind w:firstLine="3902"/>
        <w:jc w:val="left"/>
        <w:rPr>
          <w:b w:val="1"/>
          <w:u w:val="single"/>
        </w:rPr>
      </w:pPr>
      <w:r w:rsidDel="00000000" w:rsidR="00000000" w:rsidRPr="00000000">
        <w:rPr>
          <w:rtl w:val="0"/>
        </w:rPr>
      </w:r>
    </w:p>
    <w:p w:rsidR="00000000" w:rsidDel="00000000" w:rsidP="00000000" w:rsidRDefault="00000000" w:rsidRPr="00000000" w14:paraId="00000006">
      <w:pPr>
        <w:ind w:firstLine="600"/>
        <w:jc w:val="left"/>
        <w:rPr/>
      </w:pPr>
      <w:r w:rsidDel="00000000" w:rsidR="00000000" w:rsidRPr="00000000">
        <w:rPr>
          <w:rtl w:val="0"/>
        </w:rPr>
        <w:t xml:space="preserve">(Must be signed and returned to the editor-in-chief of the journal before the manuscript can be considered for publication)</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b w:val="1"/>
        </w:rPr>
      </w:pPr>
      <w:r w:rsidDel="00000000" w:rsidR="00000000" w:rsidRPr="00000000">
        <w:rPr>
          <w:b w:val="1"/>
          <w:rtl w:val="0"/>
        </w:rPr>
        <w:t xml:space="preserve">Manuscript Reference Number:</w:t>
      </w:r>
    </w:p>
    <w:p w:rsidR="00000000" w:rsidDel="00000000" w:rsidP="00000000" w:rsidRDefault="00000000" w:rsidRPr="00000000" w14:paraId="00000009">
      <w:pPr>
        <w:jc w:val="left"/>
        <w:rPr>
          <w:b w:val="1"/>
        </w:rPr>
      </w:pPr>
      <w:r w:rsidDel="00000000" w:rsidR="00000000" w:rsidRPr="00000000">
        <w:rPr>
          <w:rtl w:val="0"/>
        </w:rPr>
      </w:r>
    </w:p>
    <w:p w:rsidR="00000000" w:rsidDel="00000000" w:rsidP="00000000" w:rsidRDefault="00000000" w:rsidRPr="00000000" w14:paraId="0000000A">
      <w:pPr>
        <w:jc w:val="left"/>
        <w:rPr>
          <w:b w:val="1"/>
        </w:rPr>
      </w:pPr>
      <w:r w:rsidDel="00000000" w:rsidR="00000000" w:rsidRPr="00000000">
        <w:rPr>
          <w:b w:val="1"/>
          <w:rtl w:val="0"/>
        </w:rPr>
        <w:t xml:space="preserve">Manuscript Title:</w:t>
      </w:r>
    </w:p>
    <w:p w:rsidR="00000000" w:rsidDel="00000000" w:rsidP="00000000" w:rsidRDefault="00000000" w:rsidRPr="00000000" w14:paraId="0000000B">
      <w:pPr>
        <w:jc w:val="left"/>
        <w:rPr>
          <w:b w:val="1"/>
        </w:rPr>
      </w:pPr>
      <w:r w:rsidDel="00000000" w:rsidR="00000000" w:rsidRPr="00000000">
        <w:rPr>
          <w:rtl w:val="0"/>
        </w:rPr>
      </w:r>
    </w:p>
    <w:p w:rsidR="00000000" w:rsidDel="00000000" w:rsidP="00000000" w:rsidRDefault="00000000" w:rsidRPr="00000000" w14:paraId="0000000C">
      <w:pPr>
        <w:jc w:val="left"/>
        <w:rPr>
          <w:b w:val="1"/>
        </w:rPr>
      </w:pPr>
      <w:r w:rsidDel="00000000" w:rsidR="00000000" w:rsidRPr="00000000">
        <w:rPr>
          <w:b w:val="1"/>
          <w:rtl w:val="0"/>
        </w:rPr>
        <w:t xml:space="preserve">Corresponding Author name, address, affiliation, email ID and phone number :</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b w:val="1"/>
        </w:rPr>
      </w:pPr>
      <w:r w:rsidDel="00000000" w:rsidR="00000000" w:rsidRPr="00000000">
        <w:rPr>
          <w:b w:val="1"/>
          <w:rtl w:val="0"/>
        </w:rPr>
        <w:t xml:space="preserve">Co-authors names, address, affiliation, email ID and phone number:</w:t>
      </w:r>
    </w:p>
    <w:p w:rsidR="00000000" w:rsidDel="00000000" w:rsidP="00000000" w:rsidRDefault="00000000" w:rsidRPr="00000000" w14:paraId="00000011">
      <w:pPr>
        <w:jc w:val="left"/>
        <w:rPr>
          <w:b w:val="1"/>
        </w:rPr>
      </w:pPr>
      <w:r w:rsidDel="00000000" w:rsidR="00000000" w:rsidRPr="00000000">
        <w:rPr>
          <w:b w:val="1"/>
          <w:rtl w:val="0"/>
        </w:rPr>
        <w:t xml:space="preserve">(print this page if require adding more author’s)</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t xml:space="preserve">1.</w:t>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2.</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3.</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t xml:space="preserve">4.</w:t>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5.</w:t>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r>
    </w:p>
    <w:p w:rsidR="00000000" w:rsidDel="00000000" w:rsidP="00000000" w:rsidRDefault="00000000" w:rsidRPr="00000000" w14:paraId="00000023">
      <w:pPr>
        <w:numPr>
          <w:ilvl w:val="0"/>
          <w:numId w:val="1"/>
        </w:num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I/We a</w:t>
      </w:r>
      <w:r w:rsidDel="00000000" w:rsidR="00000000" w:rsidRPr="00000000">
        <w:rPr>
          <w:rFonts w:ascii="Times New Roman" w:cs="Times New Roman" w:eastAsia="Times New Roman" w:hAnsi="Times New Roman"/>
          <w:rtl w:val="0"/>
        </w:rPr>
        <w:t xml:space="preserve">cknowledge and agreed that;</w:t>
      </w:r>
    </w:p>
    <w:p w:rsidR="00000000" w:rsidDel="00000000" w:rsidP="00000000" w:rsidRDefault="00000000" w:rsidRPr="00000000" w14:paraId="0000002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
        </w:num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manuscript submitted to  </w:t>
      </w:r>
      <w:r w:rsidDel="00000000" w:rsidR="00000000" w:rsidRPr="00000000">
        <w:rPr>
          <w:rFonts w:ascii="Times New Roman" w:cs="Times New Roman" w:eastAsia="Times New Roman" w:hAnsi="Times New Roman"/>
          <w:b w:val="1"/>
          <w:i w:val="0"/>
          <w:smallCaps w:val="0"/>
          <w:color w:val="333333"/>
          <w:sz w:val="20"/>
          <w:szCs w:val="20"/>
          <w:highlight w:val="white"/>
          <w:rtl w:val="0"/>
        </w:rPr>
        <w:t xml:space="preserve">Oral Sphere Journal of Dental and Health Sciences / Font Fusions Publication</w:t>
      </w:r>
      <w:r w:rsidDel="00000000" w:rsidR="00000000" w:rsidRPr="00000000">
        <w:rPr>
          <w:rFonts w:ascii="Times New Roman" w:cs="Times New Roman" w:eastAsia="Times New Roman" w:hAnsi="Times New Roman"/>
          <w:i w:val="0"/>
          <w:smallCaps w:val="0"/>
          <w:color w:val="333333"/>
          <w:sz w:val="20"/>
          <w:szCs w:val="20"/>
          <w:highlight w:val="white"/>
          <w:rtl w:val="0"/>
        </w:rPr>
        <w:t xml:space="preserve"> </w:t>
      </w:r>
      <w:r w:rsidDel="00000000" w:rsidR="00000000" w:rsidRPr="00000000">
        <w:rPr>
          <w:rFonts w:ascii="Times New Roman" w:cs="Times New Roman" w:eastAsia="Times New Roman" w:hAnsi="Times New Roman"/>
          <w:i w:val="0"/>
          <w:smallCaps w:val="0"/>
          <w:color w:val="333333"/>
          <w:sz w:val="19"/>
          <w:szCs w:val="19"/>
          <w:highlight w:val="white"/>
          <w:rtl w:val="0"/>
        </w:rPr>
        <w:t xml:space="preserve"> </w:t>
      </w:r>
      <w:r w:rsidDel="00000000" w:rsidR="00000000" w:rsidRPr="00000000">
        <w:rPr>
          <w:rFonts w:ascii="Times New Roman" w:cs="Times New Roman" w:eastAsia="Times New Roman" w:hAnsi="Times New Roman"/>
          <w:rtl w:val="0"/>
        </w:rPr>
        <w:t xml:space="preserve">is     an     original     work     and     has     not     been     published     or is under consideration in any other journal.</w:t>
      </w:r>
    </w:p>
    <w:p w:rsidR="00000000" w:rsidDel="00000000" w:rsidP="00000000" w:rsidRDefault="00000000" w:rsidRPr="00000000" w14:paraId="0000002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2"/>
        </w:num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accepted,   manuscript   shall   not   be   published   elsewhere   in   the   same   form,   in   either the same or another language, without the consent of the Editors.</w:t>
      </w:r>
    </w:p>
    <w:p w:rsidR="00000000" w:rsidDel="00000000" w:rsidP="00000000" w:rsidRDefault="00000000" w:rsidRPr="00000000" w14:paraId="0000002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2"/>
        </w:num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 (s)   listed   above   have   contributed   to   the   research   and   all    have    unanimously approved the final manuscript.</w:t>
      </w:r>
    </w:p>
    <w:p w:rsidR="00000000" w:rsidDel="00000000" w:rsidP="00000000" w:rsidRDefault="00000000" w:rsidRPr="00000000" w14:paraId="0000003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2"/>
        </w:num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text, figures, tables, illustrations, and   any   other   materials included   in the manuscript   do not infringe upon any existing copyright or other rights of anyone.</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2"/>
        </w:num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spite   of   the   above,   the   contributor(s)   or,   if   applicable   the   contributor’s   employer retain(s) all proprietary rights other than copyright, such as:</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3"/>
        </w:num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Patent rights;</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3"/>
        </w:numPr>
        <w:ind w:left="0" w:firstLine="0"/>
        <w:jc w:val="both"/>
        <w:rPr/>
      </w:pPr>
      <w:r w:rsidDel="00000000" w:rsidR="00000000" w:rsidRPr="00000000">
        <w:rPr>
          <w:rtl w:val="0"/>
        </w:rPr>
        <w:t xml:space="preserve">To use, free of charge, all parts of this article for the   author’s   future   works   in   books, lectures, class room teaching or oral presentations;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numPr>
          <w:ilvl w:val="0"/>
          <w:numId w:val="3"/>
        </w:numPr>
        <w:ind w:left="0" w:firstLine="0"/>
        <w:jc w:val="both"/>
        <w:rPr/>
      </w:pPr>
      <w:r w:rsidDel="00000000" w:rsidR="00000000" w:rsidRPr="00000000">
        <w:rPr>
          <w:rtl w:val="0"/>
        </w:rPr>
        <w:t xml:space="preserve">The right to reproduce the article   for   their   own   purposes   provided   the   copies   are   not offered for sale.</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numPr>
          <w:ilvl w:val="0"/>
          <w:numId w:val="2"/>
        </w:numPr>
        <w:ind w:left="0" w:firstLine="0"/>
        <w:jc w:val="both"/>
        <w:rPr/>
      </w:pPr>
      <w:r w:rsidDel="00000000" w:rsidR="00000000" w:rsidRPr="00000000">
        <w:rPr>
          <w:rtl w:val="0"/>
        </w:rPr>
        <w:t xml:space="preserve">If any submitted content is discovered to be violating this copyright agreement, publication rights may be withdrawn and/or corrective action may be taken. The publisher retains the right to take appropriate legal action or to publish an erratum or corrigendum (correction); to retract the contribution; to discuss the matter with the author's institution's head of department or dean; or to pursue other appropriate course of action.</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numPr>
          <w:ilvl w:val="0"/>
          <w:numId w:val="2"/>
        </w:numPr>
        <w:ind w:left="0" w:firstLine="0"/>
        <w:jc w:val="both"/>
        <w:rPr/>
      </w:pPr>
      <w:r w:rsidDel="00000000" w:rsidR="00000000" w:rsidRPr="00000000">
        <w:rPr>
          <w:rtl w:val="0"/>
        </w:rPr>
        <w:t xml:space="preserve">The parties [corresponding author and or co-author(s) or complainer(s) or any third party] agree to attempt in good faith to settle any disagreement that may emerge from or be related to this copyright agreement before taking any further action. If that doesn't work out, the parties will work with a mediator they both agree upon in non-binding mediation. Arbitration will be used to resolve any dispute or claim arising out of or connected to this Agreement, or its breach, that the parties are unable to resolve amongst themselves or via mediation. Indian law (in particularly place; Uttar Pradesh State, Gautam Buddha Nagar district) shall govern and be applied to the interpretation of this Agreement and any claim, disagreement, or difference (including non- contractual claims, disputes, or differences) arising out of or in connection with it or its subject matter if applicable. In such a scenario, all parties involved agreed that in any situation,  OSJDHS/FONT FUSIONS PUBLICATION would not be involved in any legal proceedings pertaining to this agreement.</w:t>
      </w:r>
    </w:p>
    <w:p w:rsidR="00000000" w:rsidDel="00000000" w:rsidP="00000000" w:rsidRDefault="00000000" w:rsidRPr="00000000" w14:paraId="0000003F">
      <w:pPr>
        <w:numPr>
          <w:ilvl w:val="0"/>
          <w:numId w:val="2"/>
        </w:numPr>
        <w:ind w:left="0" w:firstLine="0"/>
        <w:jc w:val="both"/>
        <w:rPr/>
      </w:pPr>
      <w:r w:rsidDel="00000000" w:rsidR="00000000" w:rsidRPr="00000000">
        <w:rPr>
          <w:rtl w:val="0"/>
        </w:rPr>
        <w:t xml:space="preserve">Declaration on Publication Ethics: The author’s state that they adhere with COPE guidelines on publishing ethics as described elsewhere at https://publicationethics.org/. The authors also undertake that they are not associated with any other third party (governmental or non-governmental agencies) linking with any form of unethical issues connecting to this publication. The authors also declare that they are not withholding any information that is misleading to the publisher in regard to this article.</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numPr>
          <w:ilvl w:val="0"/>
          <w:numId w:val="2"/>
        </w:numPr>
        <w:ind w:left="0" w:firstLine="0"/>
        <w:jc w:val="both"/>
        <w:rPr/>
      </w:pPr>
      <w:r w:rsidDel="00000000" w:rsidR="00000000" w:rsidRPr="00000000">
        <w:rPr>
          <w:rtl w:val="0"/>
        </w:rPr>
        <w:t xml:space="preserve">Declaration on official E-mail:  The corresponding author declares that lifetime official e-mail from their institution is not available for all authors.</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numPr>
          <w:ilvl w:val="0"/>
          <w:numId w:val="2"/>
        </w:numPr>
        <w:ind w:left="0" w:firstLine="0"/>
        <w:jc w:val="both"/>
        <w:rPr/>
      </w:pPr>
      <w:r w:rsidDel="00000000" w:rsidR="00000000" w:rsidRPr="00000000">
        <w:rPr>
          <w:rtl w:val="0"/>
        </w:rPr>
        <w:t xml:space="preserve">License statement: This is an Open Access (OA) journal, and articles are distributed under the terms of the Creative Commons Attribution-NonCommercial-ShareAlike 4.0 License, which allows others to remix, tweak, and build upon the work non-commercially, as long as appropriate credit is given and the new creations are licensed under the identical terms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numPr>
          <w:ilvl w:val="0"/>
          <w:numId w:val="2"/>
        </w:numPr>
        <w:ind w:left="0" w:firstLine="0"/>
        <w:jc w:val="both"/>
        <w:rPr/>
      </w:pPr>
      <w:r w:rsidDel="00000000" w:rsidR="00000000" w:rsidRPr="00000000">
        <w:rPr>
          <w:rtl w:val="0"/>
        </w:rPr>
        <w:t xml:space="preserve">Comments from readers: Articles published in Oral Sphere Journal of Dental and Health Sciences are open for relevant post publication comments and criticisms, which will be published immediately linking to the original article without open access charges. Comments should be concise, coherent and critical in less than 1000 words.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2"/>
        </w:numPr>
        <w:ind w:left="0" w:firstLine="0"/>
        <w:jc w:val="both"/>
        <w:rPr/>
      </w:pPr>
      <w:r w:rsidDel="00000000" w:rsidR="00000000" w:rsidRPr="00000000">
        <w:rPr>
          <w:rtl w:val="0"/>
        </w:rPr>
        <w:t xml:space="preserve">Disclaimer: The views and opinions expressed are those of the author(s) and do not reflect the views or opinions of Oral Sphere Journal of Dental and Health Sciences and (or) its publisher Font Fusions Publication. Font Fusions Publication remains neutral and allows authors to specify their address and affiliation details including territory where required. Bioinformation provides a platform for scholarly communication of data and information to create knowledge in the Biological/Biomedical domain.</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numPr>
          <w:ilvl w:val="0"/>
          <w:numId w:val="2"/>
        </w:numPr>
        <w:ind w:left="0" w:firstLine="0"/>
        <w:jc w:val="both"/>
        <w:rPr/>
      </w:pPr>
      <w:r w:rsidDel="00000000" w:rsidR="00000000" w:rsidRPr="00000000">
        <w:rPr>
          <w:rtl w:val="0"/>
        </w:rPr>
        <w:t xml:space="preserve">On the date this Agreement goes into effect, the Author (Co-Authors) will transfer and sell to the Publisher all exclusive rights to the submission in English for the duration of the copyright, including the right to translate the Work (including translating the original Work into English), make copies of, reprint, grant a licence, transfer, distribute, or use the Work or any content therein for publication in worldwide print and electronic editions of such journals, periodicals, and derivative works. The right to licence, or grant permission to, third parties (including affiliated individuals and others), to use the submission in English for publication in such journals, periodicals, derivative works, and databases worldwide, in both print and electronic editions of such journals, periodicals, and derivative works in all media now known or later devised.</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numPr>
          <w:ilvl w:val="0"/>
          <w:numId w:val="2"/>
        </w:numPr>
        <w:ind w:left="0" w:firstLine="0"/>
        <w:jc w:val="both"/>
        <w:rPr/>
      </w:pPr>
      <w:r w:rsidDel="00000000" w:rsidR="00000000" w:rsidRPr="00000000">
        <w:rPr>
          <w:rtl w:val="0"/>
        </w:rPr>
        <w:t xml:space="preserve">All proprietary rights, including patent and trademark rights, to any process or procedure described in the submission shall remain with the Author (Co-authors) or the Employer of the Author (Co-authors), excluding any rights transferred to or referenced as owned by the Publisher under these terms.</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numPr>
          <w:ilvl w:val="0"/>
          <w:numId w:val="2"/>
        </w:numPr>
        <w:ind w:left="0" w:firstLine="0"/>
        <w:jc w:val="both"/>
        <w:rPr/>
      </w:pPr>
      <w:r w:rsidDel="00000000" w:rsidR="00000000" w:rsidRPr="00000000">
        <w:rPr>
          <w:rtl w:val="0"/>
        </w:rPr>
        <w:t xml:space="preserve">The submitted manuscript and associated data will be published in English by the Publisher on the dates set by the Publishing House, and upon publication, the Publisher will provide an electronic preprint of the Work to the Author (or Co-Authors) upon request.</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numPr>
          <w:ilvl w:val="0"/>
          <w:numId w:val="2"/>
        </w:numPr>
        <w:ind w:left="0" w:firstLine="0"/>
        <w:jc w:val="both"/>
        <w:rPr/>
      </w:pPr>
      <w:r w:rsidDel="00000000" w:rsidR="00000000" w:rsidRPr="00000000">
        <w:rPr>
          <w:rtl w:val="0"/>
        </w:rPr>
        <w:t xml:space="preserve">The decision to accept the submission for publication by the Journal's editorial board is announced on the date and at that point the present agreement enters into effect. The current Agreement will end if the submission is not accepted for publication or if the author(s) withdraw it before it is published.</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numPr>
          <w:ilvl w:val="0"/>
          <w:numId w:val="2"/>
        </w:numPr>
        <w:ind w:left="0" w:firstLine="0"/>
        <w:jc w:val="both"/>
        <w:rPr/>
      </w:pPr>
      <w:r w:rsidDel="00000000" w:rsidR="00000000" w:rsidRPr="00000000">
        <w:rPr>
          <w:rtl w:val="0"/>
        </w:rPr>
        <w:t xml:space="preserve">Any electronic copy of this Agreement, whether scanned, faxed, or otherwise, will be regarded as an original. The publishers and authors concur that this agreement will be interpreted as having been signed online or in person.</w:t>
      </w:r>
    </w:p>
    <w:p w:rsidR="00000000" w:rsidDel="00000000" w:rsidP="00000000" w:rsidRDefault="00000000" w:rsidRPr="00000000" w14:paraId="00000053">
      <w:pPr>
        <w:spacing w:before="0" w:line="360" w:lineRule="auto"/>
        <w:ind w:right="370"/>
        <w:jc w:val="both"/>
        <w:rPr>
          <w:b w:val="1"/>
          <w:i w:val="1"/>
          <w:sz w:val="22"/>
          <w:szCs w:val="22"/>
        </w:rPr>
      </w:pPr>
      <w:r w:rsidDel="00000000" w:rsidR="00000000" w:rsidRPr="00000000">
        <w:rPr>
          <w:rtl w:val="0"/>
        </w:rPr>
      </w:r>
    </w:p>
    <w:p w:rsidR="00000000" w:rsidDel="00000000" w:rsidP="00000000" w:rsidRDefault="00000000" w:rsidRPr="00000000" w14:paraId="00000054">
      <w:pPr>
        <w:spacing w:before="0" w:line="360" w:lineRule="auto"/>
        <w:ind w:right="370"/>
        <w:jc w:val="both"/>
        <w:rPr>
          <w:b w:val="1"/>
          <w:i w:val="1"/>
          <w:sz w:val="22"/>
          <w:szCs w:val="22"/>
        </w:rPr>
      </w:pPr>
      <w:r w:rsidDel="00000000" w:rsidR="00000000" w:rsidRPr="00000000">
        <w:rPr>
          <w:rtl w:val="0"/>
        </w:rPr>
      </w:r>
    </w:p>
    <w:p w:rsidR="00000000" w:rsidDel="00000000" w:rsidP="00000000" w:rsidRDefault="00000000" w:rsidRPr="00000000" w14:paraId="00000055">
      <w:pPr>
        <w:spacing w:before="0" w:line="360" w:lineRule="auto"/>
        <w:ind w:left="196" w:right="370" w:firstLine="3.999999999999986"/>
        <w:jc w:val="both"/>
        <w:rPr>
          <w:b w:val="1"/>
          <w:i w:val="1"/>
          <w:sz w:val="20"/>
          <w:szCs w:val="20"/>
        </w:rPr>
      </w:pPr>
      <w:r w:rsidDel="00000000" w:rsidR="00000000" w:rsidRPr="00000000">
        <w:rPr>
          <w:b w:val="1"/>
          <w:i w:val="1"/>
          <w:sz w:val="22"/>
          <w:szCs w:val="22"/>
          <w:rtl w:val="0"/>
        </w:rPr>
        <w:t xml:space="preserve">Note: </w:t>
      </w:r>
      <w:r w:rsidDel="00000000" w:rsidR="00000000" w:rsidRPr="00000000">
        <w:rPr>
          <w:b w:val="1"/>
          <w:i w:val="1"/>
          <w:sz w:val="20"/>
          <w:szCs w:val="20"/>
          <w:rtl w:val="0"/>
        </w:rPr>
        <w:t xml:space="preserve">Authors (Co-authors) confirm that there are no known conflicts of interest, other than directly indicated in the manuscript. The authors of various publications in this journal are wholly responsible for their ideas and results. The Journal authorities will hold no responsibility in this regard.</w:t>
      </w:r>
    </w:p>
    <w:p w:rsidR="00000000" w:rsidDel="00000000" w:rsidP="00000000" w:rsidRDefault="00000000" w:rsidRPr="00000000" w14:paraId="00000056">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7">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8">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9">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A">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B">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C">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D">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E">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5F">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0">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1">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2">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3">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4">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5">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6">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7">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8">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9">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A">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B">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C">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D">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6E">
      <w:pPr>
        <w:spacing w:before="0" w:line="360" w:lineRule="auto"/>
        <w:ind w:left="196" w:right="370" w:firstLine="3.999999999999986"/>
        <w:jc w:val="both"/>
        <w:rPr>
          <w:b w:val="1"/>
          <w:i w:val="1"/>
          <w:sz w:val="20"/>
          <w:szCs w:val="20"/>
        </w:rPr>
      </w:pPr>
      <w:r w:rsidDel="00000000" w:rsidR="00000000" w:rsidRPr="00000000">
        <w:rPr>
          <w:rtl w:val="0"/>
        </w:rPr>
      </w:r>
    </w:p>
    <w:tbl>
      <w:tblPr>
        <w:tblStyle w:val="Table1"/>
        <w:tblW w:w="1001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0"/>
        <w:gridCol w:w="3490"/>
        <w:gridCol w:w="2160"/>
        <w:gridCol w:w="1212"/>
        <w:gridCol w:w="1331"/>
        <w:tblGridChange w:id="0">
          <w:tblGrid>
            <w:gridCol w:w="1820"/>
            <w:gridCol w:w="3490"/>
            <w:gridCol w:w="2160"/>
            <w:gridCol w:w="1212"/>
            <w:gridCol w:w="1331"/>
          </w:tblGrid>
        </w:tblGridChange>
      </w:tblGrid>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428" w:right="42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Author’s</w:t>
            </w:r>
          </w:p>
        </w:tc>
        <w:tc>
          <w:tcPr>
            <w:tcBorders>
              <w:top w:color="000000" w:space="0" w:sz="4"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1117" w:right="11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p>
        </w:tc>
        <w:tc>
          <w:tcPr>
            <w:tcBorders>
              <w:top w:color="000000" w:space="0" w:sz="4"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0" w:right="0" w:firstLine="6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w:t>
            </w:r>
          </w:p>
        </w:tc>
        <w:tc>
          <w:tcPr>
            <w:tcBorders>
              <w:top w:color="000000" w:space="0" w:sz="4"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43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p>
        </w:tc>
        <w:tc>
          <w:tcPr>
            <w:tcBorders>
              <w:top w:color="000000" w:space="0" w:sz="4" w:val="single"/>
              <w:left w:color="000000" w:space="0" w:sz="4"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5" w:lineRule="auto"/>
              <w:ind w:left="0" w:right="0" w:firstLine="2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w:t>
            </w:r>
          </w:p>
        </w:tc>
      </w:tr>
      <w:tr>
        <w:trPr>
          <w:cantSplit w:val="0"/>
          <w:trHeight w:val="505"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566" w:right="171" w:hanging="368"/>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Corresponding Author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0" w:line="240"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1</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2</w:t>
            </w:r>
          </w:p>
        </w:tc>
        <w:tc>
          <w:tcPr>
            <w:tcBorders>
              <w:top w:color="000000" w:space="0" w:sz="6"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33" w:line="240"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3</w:t>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4</w:t>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5</w:t>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4" w:hRule="atLeast"/>
          <w:tblHeader w:val="0"/>
        </w:trPr>
        <w:tc>
          <w:tcPr>
            <w:tcBorders>
              <w:top w:color="000000" w:space="0" w:sz="4" w:val="single"/>
              <w:left w:color="000000" w:space="0" w:sz="4" w:val="single"/>
              <w:bottom w:color="000000" w:space="0" w:sz="4"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319" w:right="30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 6</w:t>
            </w:r>
          </w:p>
        </w:tc>
        <w:tc>
          <w:tcPr>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0.0" w:type="dxa"/>
              <w:bottom w:w="0.0" w:type="dxa"/>
              <w:right w:w="0.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C">
      <w:pPr>
        <w:spacing w:before="0" w:line="360" w:lineRule="auto"/>
        <w:ind w:left="196" w:right="370" w:firstLine="3.999999999999986"/>
        <w:jc w:val="both"/>
        <w:rPr>
          <w:b w:val="1"/>
          <w:i w:val="1"/>
          <w:sz w:val="20"/>
          <w:szCs w:val="20"/>
        </w:rPr>
      </w:pPr>
      <w:r w:rsidDel="00000000" w:rsidR="00000000" w:rsidRPr="00000000">
        <w:rPr>
          <w:rtl w:val="0"/>
        </w:rPr>
      </w:r>
    </w:p>
    <w:p w:rsidR="00000000" w:rsidDel="00000000" w:rsidP="00000000" w:rsidRDefault="00000000" w:rsidRPr="00000000" w14:paraId="000000AD">
      <w:pPr>
        <w:spacing w:before="1" w:lineRule="auto"/>
        <w:ind w:right="0" w:firstLine="220"/>
        <w:jc w:val="left"/>
        <w:rPr>
          <w:b w:val="1"/>
          <w:i w:val="1"/>
          <w:sz w:val="22"/>
          <w:szCs w:val="22"/>
        </w:rPr>
      </w:pPr>
      <w:r w:rsidDel="00000000" w:rsidR="00000000" w:rsidRPr="00000000">
        <w:rPr>
          <w:rtl w:val="0"/>
        </w:rPr>
      </w:r>
    </w:p>
    <w:p w:rsidR="00000000" w:rsidDel="00000000" w:rsidP="00000000" w:rsidRDefault="00000000" w:rsidRPr="00000000" w14:paraId="000000AE">
      <w:pPr>
        <w:spacing w:before="1" w:lineRule="auto"/>
        <w:ind w:right="0" w:firstLine="220"/>
        <w:jc w:val="left"/>
        <w:rPr>
          <w:b w:val="1"/>
          <w:i w:val="1"/>
          <w:sz w:val="22"/>
          <w:szCs w:val="22"/>
        </w:rPr>
      </w:pPr>
      <w:r w:rsidDel="00000000" w:rsidR="00000000" w:rsidRPr="00000000">
        <w:rPr>
          <w:b w:val="1"/>
          <w:i w:val="1"/>
          <w:sz w:val="22"/>
          <w:szCs w:val="22"/>
          <w:rtl w:val="0"/>
        </w:rPr>
        <w:t xml:space="preserve">(print this page if require adding more author’s)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3">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4">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5">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6">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7">
      <w:pPr>
        <w:pStyle w:val="Heading2"/>
        <w:spacing w:line="276" w:lineRule="auto"/>
        <w:ind w:right="803" w:firstLine="216"/>
        <w:rPr/>
      </w:pPr>
      <w:bookmarkStart w:colFirst="0" w:colLast="0" w:name="_gjdgxs" w:id="0"/>
      <w:bookmarkEnd w:id="0"/>
      <w:r w:rsidDel="00000000" w:rsidR="00000000" w:rsidRPr="00000000">
        <w:rPr>
          <w:rtl w:val="0"/>
        </w:rPr>
      </w:r>
    </w:p>
    <w:p w:rsidR="00000000" w:rsidDel="00000000" w:rsidP="00000000" w:rsidRDefault="00000000" w:rsidRPr="00000000" w14:paraId="000000B8">
      <w:pPr>
        <w:pStyle w:val="Heading2"/>
        <w:spacing w:line="276" w:lineRule="auto"/>
        <w:ind w:right="803" w:firstLine="216"/>
        <w:rPr/>
      </w:pPr>
      <w:r w:rsidDel="00000000" w:rsidR="00000000" w:rsidRPr="00000000">
        <w:rPr>
          <w:rtl w:val="0"/>
        </w:rPr>
      </w:r>
    </w:p>
    <w:p w:rsidR="00000000" w:rsidDel="00000000" w:rsidP="00000000" w:rsidRDefault="00000000" w:rsidRPr="00000000" w14:paraId="000000B9">
      <w:pPr>
        <w:pStyle w:val="Heading2"/>
        <w:spacing w:line="276" w:lineRule="auto"/>
        <w:ind w:right="803" w:firstLine="216"/>
        <w:rPr/>
      </w:pPr>
      <w:r w:rsidDel="00000000" w:rsidR="00000000" w:rsidRPr="00000000">
        <w:rPr>
          <w:rtl w:val="0"/>
        </w:rPr>
        <w:t xml:space="preserve">NB: </w:t>
      </w:r>
      <w:r w:rsidDel="00000000" w:rsidR="00000000" w:rsidRPr="00000000">
        <w:rPr>
          <w:b w:val="0"/>
          <w:i w:val="1"/>
          <w:u w:val="single"/>
          <w:rtl w:val="0"/>
        </w:rPr>
        <w:t xml:space="preserve">All pages should be sequentially arranged after sign and make a single PDF (copyright form) before shared with editor, or else this agreement will be rejected.</w:t>
      </w:r>
      <w:r w:rsidDel="00000000" w:rsidR="00000000" w:rsidRPr="00000000">
        <w:rPr>
          <w:rtl w:val="0"/>
        </w:rPr>
      </w:r>
    </w:p>
    <w:sectPr>
      <w:headerReference r:id="rId7" w:type="default"/>
      <w:pgSz w:h="16838" w:w="11906" w:orient="portrait"/>
      <w:pgMar w:bottom="1440" w:top="1440" w:left="200" w:right="7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97" w:right="-1200" w:hanging="119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702945" cy="691515"/>
          <wp:effectExtent b="0" l="0" r="0" t="0"/>
          <wp:docPr descr="logo" id="2" name="image1.jpg"/>
          <a:graphic>
            <a:graphicData uri="http://schemas.openxmlformats.org/drawingml/2006/picture">
              <pic:pic>
                <pic:nvPicPr>
                  <pic:cNvPr descr="logo" id="0" name="image1.jpg"/>
                  <pic:cNvPicPr preferRelativeResize="0"/>
                </pic:nvPicPr>
                <pic:blipFill>
                  <a:blip r:embed="rId1"/>
                  <a:srcRect b="29638" l="35788" r="35541" t="22586"/>
                  <a:stretch>
                    <a:fillRect/>
                  </a:stretch>
                </pic:blipFill>
                <pic:spPr>
                  <a:xfrm>
                    <a:off x="0" y="0"/>
                    <a:ext cx="702945" cy="69151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4185920" cy="711200"/>
          <wp:effectExtent b="0" l="0" r="0" t="0"/>
          <wp:docPr descr="Screenshot 2024-10-31 020012" id="4" name="image3.png"/>
          <a:graphic>
            <a:graphicData uri="http://schemas.openxmlformats.org/drawingml/2006/picture">
              <pic:pic>
                <pic:nvPicPr>
                  <pic:cNvPr descr="Screenshot 2024-10-31 020012" id="0" name="image3.png"/>
                  <pic:cNvPicPr preferRelativeResize="0"/>
                </pic:nvPicPr>
                <pic:blipFill>
                  <a:blip r:embed="rId2"/>
                  <a:srcRect b="0" l="0" r="0" t="0"/>
                  <a:stretch>
                    <a:fillRect/>
                  </a:stretch>
                </pic:blipFill>
                <pic:spPr>
                  <a:xfrm>
                    <a:off x="0" y="0"/>
                    <a:ext cx="4185920" cy="7112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1135380" cy="870585"/>
          <wp:effectExtent b="0" l="0" r="0" t="0"/>
          <wp:docPr descr="www.fontfusionspublication.com (1)" id="3" name="image2.jpg"/>
          <a:graphic>
            <a:graphicData uri="http://schemas.openxmlformats.org/drawingml/2006/picture">
              <pic:pic>
                <pic:nvPicPr>
                  <pic:cNvPr descr="www.fontfusionspublication.com (1)" id="0" name="image2.jpg"/>
                  <pic:cNvPicPr preferRelativeResize="0"/>
                </pic:nvPicPr>
                <pic:blipFill>
                  <a:blip r:embed="rId3"/>
                  <a:srcRect b="28549" l="27032" r="31926" t="27247"/>
                  <a:stretch>
                    <a:fillRect/>
                  </a:stretch>
                </pic:blipFill>
                <pic:spPr>
                  <a:xfrm>
                    <a:off x="0" y="0"/>
                    <a:ext cx="1135380" cy="87058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438275" cy="917575"/>
              <wp:effectExtent b="0" l="0" r="0" t="0"/>
              <wp:wrapNone/>
              <wp:docPr id="1"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438275" cy="917575"/>
              <wp:effectExtent b="0" l="0" r="0" t="0"/>
              <wp:wrapNone/>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438275" cy="9175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216"/>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ralsphere.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35BF7E7E0C014B1D8DB53FC602FC6B0D_11</vt:lpwstr>
  </property>
</Properties>
</file>